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12bis</w:t>
      </w:r>
      <w:r>
        <w:rPr>
          <w:rFonts w:hint="eastAsia" w:ascii="Arial" w:hAnsi="Arial" w:cs="Arial"/>
          <w:b/>
          <w:sz w:val="24"/>
          <w:szCs w:val="24"/>
        </w:rPr>
        <w:t xml:space="preserve">                              R4-2416249</w:t>
      </w:r>
      <w:bookmarkStart w:id="5" w:name="_GoBack"/>
      <w:bookmarkEnd w:id="5"/>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hint="eastAsia" w:ascii="Arial" w:hAnsi="Arial" w:cs="Arial"/>
          <w:b/>
          <w:sz w:val="24"/>
          <w:szCs w:val="24"/>
          <w:lang w:val="en-US" w:eastAsia="zh-CN"/>
        </w:rPr>
        <w:t>Hefei</w:t>
      </w:r>
      <w:r>
        <w:rPr>
          <w:rFonts w:ascii="Arial" w:hAnsi="Arial" w:eastAsia="宋体" w:cs="Arial"/>
          <w:b/>
          <w:sz w:val="24"/>
          <w:szCs w:val="24"/>
          <w:lang w:eastAsia="zh-CN"/>
        </w:rPr>
        <w:t xml:space="preserve">, </w:t>
      </w:r>
      <w:r>
        <w:rPr>
          <w:rFonts w:hint="eastAsia" w:ascii="Arial" w:hAnsi="Arial" w:cs="Arial"/>
          <w:b/>
          <w:sz w:val="24"/>
          <w:szCs w:val="24"/>
          <w:lang w:val="en-US" w:eastAsia="zh-CN"/>
        </w:rPr>
        <w:t>China</w:t>
      </w:r>
      <w:r>
        <w:rPr>
          <w:rFonts w:ascii="Arial" w:hAnsi="Arial" w:eastAsia="宋体" w:cs="Arial"/>
          <w:b/>
          <w:sz w:val="24"/>
          <w:szCs w:val="24"/>
          <w:lang w:eastAsia="zh-CN"/>
        </w:rPr>
        <w:t xml:space="preserve">, </w:t>
      </w:r>
      <w:r>
        <w:rPr>
          <w:rFonts w:hint="eastAsia" w:ascii="Arial" w:hAnsi="Arial" w:cs="Arial"/>
          <w:b/>
          <w:sz w:val="24"/>
          <w:szCs w:val="24"/>
          <w:lang w:val="en-US" w:eastAsia="zh-CN"/>
        </w:rPr>
        <w:t>14</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w:t>
      </w:r>
      <w:r>
        <w:rPr>
          <w:rFonts w:hint="eastAsia" w:ascii="Arial" w:hAnsi="Arial" w:cs="Arial"/>
          <w:b/>
          <w:sz w:val="24"/>
          <w:szCs w:val="24"/>
          <w:lang w:val="en-US" w:eastAsia="zh-CN"/>
        </w:rPr>
        <w:t>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Oct,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6.20.2.1</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potentially new requirements for SBFD operation </w:t>
      </w:r>
      <w:r>
        <w:rPr>
          <w:rFonts w:hint="eastAsia" w:ascii="Arial" w:hAnsi="Arial" w:eastAsia="MS Mincho" w:cs="Arial"/>
          <w:b/>
          <w:sz w:val="24"/>
          <w:szCs w:val="24"/>
          <w:lang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default" w:eastAsia="宋体"/>
          <w:vertAlign w:val="baseline"/>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pStyle w:val="5"/>
              <w:numPr>
                <w:ilvl w:val="0"/>
                <w:numId w:val="0"/>
              </w:numPr>
              <w:suppressLineNumbers w:val="0"/>
              <w:spacing w:beforeAutospacing="0" w:afterAutospacing="0"/>
              <w:ind w:right="0"/>
              <w:rPr>
                <w:rFonts w:hint="default"/>
                <w:lang w:val="en-US"/>
              </w:rPr>
            </w:pPr>
            <w:r>
              <w:rPr>
                <w:rFonts w:hint="default"/>
                <w:lang w:val="en-US"/>
              </w:rPr>
              <w:t xml:space="preserve">Issue 2-3-1: Necessity of in-channel adjacent subband leakage ratio requirements </w:t>
            </w:r>
          </w:p>
          <w:p>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eastAsia="宋体"/>
                <w:szCs w:val="24"/>
                <w:lang w:eastAsia="zh-CN"/>
              </w:rPr>
            </w:pPr>
            <w:r>
              <w:rPr>
                <w:rFonts w:hint="default" w:eastAsia="宋体"/>
                <w:szCs w:val="24"/>
                <w:lang w:eastAsia="zh-CN"/>
              </w:rPr>
              <w:t xml:space="preserve">Way forward: </w:t>
            </w:r>
          </w:p>
          <w:p>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FFS the necessity of in-channel adjacent subband leakage ratio requirements</w:t>
            </w:r>
          </w:p>
          <w:p>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1: No necessity to introduce new requirement for in-channel adjacent subband leakage ratio. </w:t>
            </w:r>
          </w:p>
          <w:p>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2: New requirement for in-channel adjacent subband leakage ratio should be defined. </w:t>
            </w:r>
          </w:p>
          <w:p>
            <w:pPr>
              <w:pStyle w:val="36"/>
              <w:keepNext w:val="0"/>
              <w:keepLines w:val="0"/>
              <w:numPr>
                <w:ilvl w:val="3"/>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Define a requirement on TX sub-band ACLR similar to the ACLR requirement and use existing ACLR requirement as baseline.</w:t>
            </w:r>
          </w:p>
          <w:p>
            <w:pPr>
              <w:keepNext w:val="0"/>
              <w:keepLines w:val="0"/>
              <w:suppressLineNumbers w:val="0"/>
              <w:spacing w:before="0" w:beforeAutospacing="0" w:after="120" w:afterAutospacing="0" w:line="259" w:lineRule="auto"/>
              <w:ind w:left="0" w:right="0"/>
              <w:rPr>
                <w:rFonts w:hint="default"/>
                <w:lang w:val="en-US"/>
              </w:rPr>
            </w:pPr>
          </w:p>
          <w:p>
            <w:pPr>
              <w:pStyle w:val="5"/>
              <w:numPr>
                <w:ilvl w:val="0"/>
                <w:numId w:val="0"/>
              </w:numPr>
              <w:suppressLineNumbers w:val="0"/>
              <w:spacing w:beforeAutospacing="0" w:afterAutospacing="0"/>
              <w:ind w:right="0"/>
              <w:rPr>
                <w:rFonts w:hint="default"/>
                <w:lang w:val="en-US"/>
              </w:rPr>
            </w:pPr>
            <w:r>
              <w:rPr>
                <w:rFonts w:hint="default"/>
                <w:lang w:val="en-US"/>
              </w:rPr>
              <w:t xml:space="preserve">Issue 2-4-1: Necessity of in-channel adjacent subband selectivity requirements </w:t>
            </w:r>
          </w:p>
          <w:p>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eastAsia="宋体"/>
                <w:szCs w:val="24"/>
                <w:lang w:eastAsia="zh-CN"/>
              </w:rPr>
            </w:pPr>
            <w:r>
              <w:rPr>
                <w:rFonts w:hint="default" w:eastAsia="宋体"/>
                <w:szCs w:val="24"/>
                <w:lang w:eastAsia="zh-CN"/>
              </w:rPr>
              <w:t xml:space="preserve">Way forward: </w:t>
            </w:r>
          </w:p>
          <w:p>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FFS the necessity of in-channel adjacent subband selectivity requirements</w:t>
            </w:r>
          </w:p>
          <w:p>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1: No necessity to introduce new requirement for in-channel adjacent subband selectivity. </w:t>
            </w:r>
          </w:p>
          <w:p>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2: New requirement for in-channel adjacent subband selectivity should be defined. </w:t>
            </w:r>
          </w:p>
          <w:p>
            <w:pPr>
              <w:pStyle w:val="36"/>
              <w:keepNext w:val="0"/>
              <w:keepLines w:val="0"/>
              <w:numPr>
                <w:ilvl w:val="3"/>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Define a requirement on RX sub-band ACS similar to the ACS requirement and use existing ACS requirement as baseline.</w:t>
            </w:r>
          </w:p>
          <w:p>
            <w:pPr>
              <w:pStyle w:val="36"/>
              <w:keepNext w:val="0"/>
              <w:keepLines w:val="0"/>
              <w:suppressLineNumbers w:val="0"/>
              <w:overflowPunct/>
              <w:autoSpaceDE/>
              <w:autoSpaceDN/>
              <w:adjustRightInd/>
              <w:spacing w:before="0" w:beforeAutospacing="0" w:after="120" w:afterAutospacing="0" w:line="259" w:lineRule="auto"/>
              <w:ind w:left="1656" w:right="0" w:firstLine="0" w:firstLineChars="0"/>
              <w:textAlignment w:val="auto"/>
              <w:rPr>
                <w:rFonts w:hint="default"/>
                <w:lang w:val="en-US"/>
              </w:rPr>
            </w:pPr>
          </w:p>
          <w:p>
            <w:pPr>
              <w:pStyle w:val="5"/>
              <w:numPr>
                <w:ilvl w:val="0"/>
                <w:numId w:val="0"/>
              </w:numPr>
              <w:suppressLineNumbers w:val="0"/>
              <w:spacing w:beforeAutospacing="0" w:afterAutospacing="0"/>
              <w:ind w:right="0"/>
              <w:rPr>
                <w:rFonts w:hint="default"/>
                <w:lang w:val="en-US"/>
              </w:rPr>
            </w:pPr>
            <w:r>
              <w:rPr>
                <w:rFonts w:hint="default"/>
                <w:lang w:val="en-US"/>
              </w:rPr>
              <w:t>Issue 2-4-2: Necessity of in-channel adjacent subband blocking requirement</w:t>
            </w:r>
          </w:p>
          <w:p>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eastAsia="宋体"/>
                <w:szCs w:val="24"/>
                <w:lang w:eastAsia="zh-CN"/>
              </w:rPr>
            </w:pPr>
            <w:r>
              <w:rPr>
                <w:rFonts w:hint="default" w:eastAsia="宋体"/>
                <w:szCs w:val="24"/>
                <w:lang w:eastAsia="zh-CN"/>
              </w:rPr>
              <w:t xml:space="preserve">Way forward: </w:t>
            </w:r>
          </w:p>
          <w:p>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FFS the necessity of in-channel adjacent subband </w:t>
            </w:r>
            <w:r>
              <w:rPr>
                <w:rFonts w:hint="default"/>
                <w:lang w:val="en-US"/>
              </w:rPr>
              <w:t xml:space="preserve">blocking </w:t>
            </w:r>
            <w:r>
              <w:rPr>
                <w:rFonts w:hint="default" w:eastAsia="宋体"/>
                <w:szCs w:val="24"/>
                <w:lang w:eastAsia="zh-CN"/>
              </w:rPr>
              <w:t>requirements</w:t>
            </w:r>
          </w:p>
          <w:p>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1: No necessity to introduce new requirement for in-channel adjacent subband blocking. </w:t>
            </w:r>
          </w:p>
          <w:p>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2: New requirement for in-channel adjacent subband blocking should be defined. </w:t>
            </w:r>
          </w:p>
          <w:p>
            <w:pPr>
              <w:keepNext w:val="0"/>
              <w:keepLines w:val="0"/>
              <w:suppressLineNumbers w:val="0"/>
              <w:tabs>
                <w:tab w:val="left" w:pos="2127"/>
              </w:tabs>
              <w:spacing w:before="0" w:beforeAutospacing="0" w:after="0" w:afterAutospacing="0"/>
              <w:ind w:left="0" w:right="0"/>
              <w:rPr>
                <w:rFonts w:hint="default" w:eastAsia="宋体"/>
                <w:vertAlign w:val="baseline"/>
                <w:lang w:val="en-US" w:eastAsia="zh-CN"/>
              </w:rPr>
            </w:pPr>
          </w:p>
        </w:tc>
      </w:tr>
    </w:tbl>
    <w:p>
      <w:pPr>
        <w:tabs>
          <w:tab w:val="left" w:pos="2127"/>
        </w:tabs>
        <w:spacing w:after="0"/>
        <w:rPr>
          <w:rFonts w:hint="default" w:eastAsia="宋体"/>
          <w:lang w:val="en-US" w:eastAsia="zh-CN"/>
        </w:rPr>
      </w:pPr>
    </w:p>
    <w:p>
      <w:pPr>
        <w:pStyle w:val="57"/>
        <w:tabs>
          <w:tab w:val="left" w:pos="567"/>
          <w:tab w:val="clear" w:pos="1985"/>
        </w:tabs>
        <w:adjustRightInd w:val="0"/>
        <w:ind w:left="510" w:hanging="510"/>
        <w:rPr>
          <w:rFonts w:eastAsia="Times New Roman"/>
        </w:rPr>
      </w:pPr>
      <w:r>
        <w:rPr>
          <w:rFonts w:hint="eastAsia"/>
        </w:rPr>
        <w:t xml:space="preserve">Discussion </w:t>
      </w:r>
      <w:bookmarkStart w:id="1" w:name="OLE_LINK20"/>
      <w:bookmarkStart w:id="2" w:name="OLE_LINK13"/>
      <w:bookmarkStart w:id="3" w:name="OLE_LINK14"/>
      <w:bookmarkStart w:id="4" w:name="OLE_LINK10"/>
      <w:r>
        <w:rPr>
          <w:rFonts w:hint="eastAsia" w:eastAsia="Times New Roman"/>
        </w:rPr>
        <w:t xml:space="preserve"> </w:t>
      </w:r>
    </w:p>
    <w:bookmarkEnd w:id="1"/>
    <w:bookmarkEnd w:id="2"/>
    <w:bookmarkEnd w:id="3"/>
    <w:bookmarkEnd w:id="4"/>
    <w:p>
      <w:pPr>
        <w:pStyle w:val="36"/>
        <w:spacing w:after="120" w:line="260" w:lineRule="auto"/>
        <w:ind w:firstLine="0" w:firstLineChars="0"/>
        <w:outlineLvl w:val="1"/>
        <w:rPr>
          <w:rFonts w:hint="eastAsia"/>
          <w:szCs w:val="21"/>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xml:space="preserve">. </w:t>
      </w:r>
      <w:r>
        <w:rPr>
          <w:rFonts w:hint="eastAsia" w:ascii="Arial" w:hAnsi="Arial" w:cs="Arial"/>
          <w:sz w:val="28"/>
          <w:szCs w:val="28"/>
          <w:lang w:val="en-US" w:eastAsia="zh-CN"/>
        </w:rPr>
        <w:t>Potential new requirement</w:t>
      </w:r>
    </w:p>
    <w:p>
      <w:pPr>
        <w:pStyle w:val="36"/>
        <w:spacing w:after="120" w:line="260" w:lineRule="auto"/>
        <w:ind w:firstLine="0" w:firstLineChars="0"/>
        <w:outlineLvl w:val="2"/>
        <w:rPr>
          <w:szCs w:val="21"/>
        </w:rPr>
      </w:pPr>
      <w:r>
        <w:rPr>
          <w:rFonts w:hint="eastAsia"/>
          <w:szCs w:val="21"/>
        </w:rPr>
        <w:t>2.</w:t>
      </w:r>
      <w:r>
        <w:rPr>
          <w:rFonts w:hint="eastAsia"/>
          <w:szCs w:val="21"/>
          <w:lang w:val="en-US" w:eastAsia="zh-CN"/>
        </w:rPr>
        <w:t>1</w:t>
      </w:r>
      <w:r>
        <w:rPr>
          <w:rFonts w:hint="eastAsia"/>
          <w:szCs w:val="21"/>
        </w:rPr>
        <w:t>.</w:t>
      </w:r>
      <w:r>
        <w:rPr>
          <w:rFonts w:hint="eastAsia"/>
          <w:szCs w:val="21"/>
          <w:lang w:val="en-US" w:eastAsia="zh-CN"/>
        </w:rPr>
        <w:t>1</w:t>
      </w:r>
      <w:r>
        <w:rPr>
          <w:rFonts w:hint="eastAsia"/>
          <w:szCs w:val="21"/>
        </w:rPr>
        <w:t xml:space="preserve"> </w:t>
      </w:r>
      <w:r>
        <w:rPr>
          <w:rFonts w:eastAsia="等线" w:cs="Arial"/>
          <w:highlight w:val="none"/>
          <w:lang w:val="en-GB"/>
        </w:rPr>
        <w:t xml:space="preserve"> In-channel adjacent subband</w:t>
      </w:r>
      <w:r>
        <w:rPr>
          <w:rFonts w:hint="eastAsia" w:eastAsia="等线" w:cs="Arial"/>
          <w:highlight w:val="none"/>
          <w:lang w:val="en-US" w:eastAsia="zh-CN"/>
        </w:rPr>
        <w:t xml:space="preserve"> leakage,</w:t>
      </w:r>
      <w:r>
        <w:rPr>
          <w:rFonts w:eastAsia="等线" w:cs="Arial"/>
          <w:highlight w:val="none"/>
          <w:lang w:val="en-GB"/>
        </w:rPr>
        <w:t xml:space="preserve"> Blocking and adjacent subband selectivity</w:t>
      </w:r>
      <w:r>
        <w:rPr>
          <w:rFonts w:ascii="Times New Roman" w:hAnsi="Times New Roman" w:eastAsia="Times New Roman" w:cs="Times New Roman"/>
          <w:i/>
          <w:iCs/>
          <w:color w:val="0000FF"/>
          <w:sz w:val="20"/>
          <w:szCs w:val="20"/>
          <w:highlight w:val="none"/>
        </w:rPr>
        <w:t xml:space="preserve"> </w:t>
      </w:r>
    </w:p>
    <w:p>
      <w:pPr>
        <w:pStyle w:val="36"/>
        <w:spacing w:after="120"/>
        <w:ind w:firstLine="0" w:firstLineChars="0"/>
        <w:rPr>
          <w:rFonts w:hint="eastAsia" w:cs="Times New Roman"/>
          <w:color w:val="auto"/>
          <w:sz w:val="20"/>
          <w:szCs w:val="20"/>
          <w:lang w:val="en-US" w:eastAsia="zh-CN"/>
        </w:rPr>
      </w:pPr>
      <w:r>
        <w:rPr>
          <w:rFonts w:hint="eastAsia" w:cs="Times New Roman"/>
          <w:color w:val="auto"/>
          <w:sz w:val="20"/>
          <w:szCs w:val="20"/>
          <w:lang w:val="en-US" w:eastAsia="zh-CN"/>
        </w:rPr>
        <w:t>Regarding the RF requirement for co-site inter-sector and inter-site interference requirement, we could consider the requirement separately:</w:t>
      </w:r>
    </w:p>
    <w:p>
      <w:pPr>
        <w:pStyle w:val="36"/>
        <w:spacing w:after="120"/>
        <w:ind w:firstLine="0" w:firstLineChars="0"/>
        <w:rPr>
          <w:rFonts w:hint="default" w:cs="Times New Roman"/>
          <w:color w:val="auto"/>
          <w:sz w:val="20"/>
          <w:szCs w:val="20"/>
          <w:lang w:val="en-US" w:eastAsia="zh-CN"/>
        </w:rPr>
      </w:pPr>
      <w:r>
        <w:rPr>
          <w:rFonts w:hint="eastAsia" w:cs="Times New Roman"/>
          <w:color w:val="auto"/>
          <w:sz w:val="20"/>
          <w:szCs w:val="20"/>
          <w:lang w:val="en-US" w:eastAsia="zh-CN"/>
        </w:rPr>
        <w:t xml:space="preserve">1) for the co-site inter-sector, since there are some sub-band interference leakage from other sectors in the co-site scenario, the minimum receiver performance degradation should be ensured, however it might be difficult to define the requirement in this scenario since different vendors might have different capability on this scenario, some vendors are capable to reject higher interference power from other sectors and some other vendors might be not. From our understanding, the conformance testing for co-site inter-sector scenario is still necessary, however the power levels and configurations for other SBFD sectors could be left up to the vendors declaration with satisfying the minimum refe nsense sensitivity degradation.   </w:t>
      </w:r>
    </w:p>
    <w:p>
      <w:pPr>
        <w:pStyle w:val="36"/>
        <w:spacing w:after="120"/>
        <w:ind w:firstLine="0" w:firstLineChars="0"/>
        <w:rPr>
          <w:rFonts w:hint="default" w:cs="Times New Roman"/>
          <w:color w:val="auto"/>
          <w:sz w:val="20"/>
          <w:szCs w:val="20"/>
          <w:lang w:val="en-US" w:eastAsia="zh-CN"/>
        </w:rPr>
      </w:pPr>
      <w:r>
        <w:rPr>
          <w:rFonts w:hint="eastAsia" w:cs="Times New Roman"/>
          <w:color w:val="auto"/>
          <w:sz w:val="20"/>
          <w:szCs w:val="20"/>
          <w:lang w:val="en-US" w:eastAsia="zh-CN"/>
        </w:rPr>
        <w:t>2) for the inter-site scenario, BS CLI problem in certain scenario is still one major problems. From our understanding, if necessary, this could be left up to the BS implementation. However considering the multi-vendor deployment without any coordination on the BS CLI problem within the co-channel carrier, it</w:t>
      </w:r>
      <w:r>
        <w:rPr>
          <w:rFonts w:hint="default" w:cs="Times New Roman"/>
          <w:color w:val="auto"/>
          <w:sz w:val="20"/>
          <w:szCs w:val="20"/>
          <w:lang w:val="en-US" w:eastAsia="zh-CN"/>
        </w:rPr>
        <w:t>’</w:t>
      </w:r>
      <w:r>
        <w:rPr>
          <w:rFonts w:hint="eastAsia" w:cs="Times New Roman"/>
          <w:color w:val="auto"/>
          <w:sz w:val="20"/>
          <w:szCs w:val="20"/>
          <w:lang w:val="en-US" w:eastAsia="zh-CN"/>
        </w:rPr>
        <w:t xml:space="preserve">s better to define the minimum requirement or otherwise coordination solutions specified in other approach. Based on the following evaluation results with or without considering co-channel BS2BS CLI assuming reusing the BS ACLR/ACS requirements, the additional interference compared with legacy UE transmission from other cells for indoor scenario are quite limited, in other words, the existing BS ACLR/ACS requirement for sub-band ACLR/ACS requirement should be sufficient. In addition, since DL sub-band and UL sub-band could be any PRB number and also guard band between DL and UL is also supposed to be left up to the implementation, therefore to define the ACLR and ACS requirement for any sub-band configuration will be very complicated, in addition it will also increase lots of the implementation complexity since SBFD BS need to design the digital filtering for any PRB configuration between DL and UL and also very time consuming to do the conformance testing at the end which is somehow similar as the necessity of RF requirement definition of BWP at UE side. </w:t>
      </w:r>
    </w:p>
    <w:p>
      <w:pPr>
        <w:pStyle w:val="36"/>
        <w:spacing w:after="120"/>
        <w:ind w:firstLine="0" w:firstLineChars="0"/>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rPr>
          <w:rFonts w:hint="default" w:cs="Times New Roman"/>
          <w:color w:val="auto"/>
          <w:sz w:val="20"/>
          <w:szCs w:val="20"/>
          <w:lang w:val="en-US" w:eastAsia="zh-CN"/>
        </w:rPr>
      </w:pPr>
      <w:r>
        <w:drawing>
          <wp:inline distT="0" distB="0" distL="114300" distR="114300">
            <wp:extent cx="3241040" cy="24307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rPr>
          <w:rFonts w:hint="eastAsia" w:cs="Times New Roman"/>
          <w:b w:val="0"/>
          <w:bCs w:val="0"/>
          <w:sz w:val="20"/>
          <w:szCs w:val="20"/>
          <w:lang w:val="en-US" w:eastAsia="zh-CN"/>
        </w:rPr>
      </w:pPr>
      <w:r>
        <w:rPr>
          <w:rFonts w:hint="eastAsia"/>
          <w:b/>
          <w:bCs/>
          <w:sz w:val="20"/>
          <w:szCs w:val="20"/>
          <w:lang w:val="en-US" w:eastAsia="zh-CN"/>
        </w:rPr>
        <w:t>Proposal 1:</w:t>
      </w:r>
      <w:r>
        <w:rPr>
          <w:rFonts w:hint="eastAsia"/>
          <w:b w:val="0"/>
          <w:bCs w:val="0"/>
          <w:sz w:val="20"/>
          <w:szCs w:val="20"/>
          <w:lang w:val="en-US" w:eastAsia="zh-CN"/>
        </w:rPr>
        <w:t xml:space="preserve"> </w:t>
      </w:r>
      <w:r>
        <w:rPr>
          <w:rFonts w:hint="eastAsia" w:cs="Times New Roman"/>
          <w:b w:val="0"/>
          <w:bCs w:val="0"/>
          <w:sz w:val="20"/>
          <w:szCs w:val="20"/>
          <w:lang w:val="en-US" w:eastAsia="zh-CN"/>
        </w:rPr>
        <w:t>for the co-site inter-sector, in-channel blocking, in-channel selectivity and in-channel sub-band leakage, this could be left up to the vendor declaration without defining any specific power or freq offset of the corresponding requirement.</w:t>
      </w:r>
    </w:p>
    <w:p>
      <w:pPr>
        <w:pStyle w:val="36"/>
        <w:spacing w:after="120"/>
        <w:ind w:firstLine="0" w:firstLineChars="0"/>
        <w:rPr>
          <w:rFonts w:hint="default" w:cs="Times New Roman"/>
          <w:b w:val="0"/>
          <w:bCs w:val="0"/>
          <w:sz w:val="20"/>
          <w:szCs w:val="20"/>
          <w:lang w:val="en-US" w:eastAsia="zh-CN"/>
        </w:rPr>
      </w:pPr>
      <w:r>
        <w:rPr>
          <w:rFonts w:hint="eastAsia" w:cs="Times New Roman"/>
          <w:b/>
          <w:bCs/>
          <w:sz w:val="20"/>
          <w:szCs w:val="20"/>
          <w:lang w:val="en-US" w:eastAsia="zh-CN"/>
        </w:rPr>
        <w:t>Proposal 2:</w:t>
      </w:r>
      <w:r>
        <w:rPr>
          <w:rFonts w:hint="eastAsia" w:cs="Times New Roman"/>
          <w:b w:val="0"/>
          <w:bCs w:val="0"/>
          <w:sz w:val="20"/>
          <w:szCs w:val="20"/>
          <w:lang w:val="en-US" w:eastAsia="zh-CN"/>
        </w:rPr>
        <w:t xml:space="preserve"> for the inter-site scenario, not to define in-channel blocking, in-channel selectivity and in-channel sub-band leakage and leave this up to the implementation. </w:t>
      </w:r>
    </w:p>
    <w:p>
      <w:pPr>
        <w:pStyle w:val="36"/>
        <w:spacing w:after="120"/>
        <w:ind w:firstLine="0" w:firstLineChars="0"/>
      </w:pPr>
      <w:r>
        <w:drawing>
          <wp:inline distT="0" distB="0" distL="114300" distR="114300">
            <wp:extent cx="6185535" cy="1929130"/>
            <wp:effectExtent l="0" t="0" r="5715"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6185535" cy="1929130"/>
                    </a:xfrm>
                    <a:prstGeom prst="rect">
                      <a:avLst/>
                    </a:prstGeom>
                    <a:noFill/>
                    <a:ln>
                      <a:noFill/>
                    </a:ln>
                  </pic:spPr>
                </pic:pic>
              </a:graphicData>
            </a:graphic>
          </wp:inline>
        </w:drawing>
      </w:r>
    </w:p>
    <w:p>
      <w:pPr>
        <w:pStyle w:val="36"/>
        <w:numPr>
          <w:ilvl w:val="255"/>
          <w:numId w:val="0"/>
        </w:numPr>
        <w:spacing w:after="0" w:line="240" w:lineRule="auto"/>
        <w:jc w:val="center"/>
        <w:rPr>
          <w:rFonts w:hint="default" w:cs="Times New Roman"/>
          <w:lang w:val="en-US" w:eastAsia="zh-CN"/>
        </w:rPr>
      </w:pPr>
      <w:r>
        <w:rPr>
          <w:rFonts w:hint="eastAsia"/>
        </w:rPr>
        <w:t>Figure 2.2.1-1: Example of REFSENS requirement for SBFD BS</w:t>
      </w:r>
    </w:p>
    <w:p>
      <w:pPr>
        <w:pStyle w:val="57"/>
        <w:tabs>
          <w:tab w:val="left" w:pos="567"/>
          <w:tab w:val="clear" w:pos="1985"/>
        </w:tabs>
        <w:adjustRightInd w:val="0"/>
        <w:ind w:left="510" w:hanging="510"/>
      </w:pPr>
      <w:r>
        <w:t>Conclusions</w:t>
      </w:r>
    </w:p>
    <w:p>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initial views on RF requirements for SBFD BS</w:t>
      </w:r>
      <w:r>
        <w:rPr>
          <w:rFonts w:hint="eastAsia" w:cs="Times New Roman"/>
          <w:sz w:val="20"/>
          <w:szCs w:val="20"/>
          <w:lang w:val="en-US" w:eastAsia="zh-CN"/>
        </w:rPr>
        <w:t xml:space="preserve"> and proposals/observations are made as following:</w:t>
      </w:r>
    </w:p>
    <w:p>
      <w:pPr>
        <w:pStyle w:val="36"/>
        <w:spacing w:after="120"/>
        <w:ind w:firstLine="0" w:firstLineChars="0"/>
        <w:rPr>
          <w:rFonts w:hint="eastAsia" w:cs="Times New Roman"/>
          <w:b w:val="0"/>
          <w:bCs w:val="0"/>
          <w:sz w:val="20"/>
          <w:szCs w:val="20"/>
          <w:lang w:val="en-US" w:eastAsia="zh-CN"/>
        </w:rPr>
      </w:pPr>
      <w:r>
        <w:rPr>
          <w:rFonts w:hint="eastAsia"/>
          <w:b/>
          <w:bCs/>
          <w:sz w:val="20"/>
          <w:szCs w:val="20"/>
          <w:lang w:val="en-US" w:eastAsia="zh-CN"/>
        </w:rPr>
        <w:t>Proposal 1:</w:t>
      </w:r>
      <w:r>
        <w:rPr>
          <w:rFonts w:hint="eastAsia"/>
          <w:b w:val="0"/>
          <w:bCs w:val="0"/>
          <w:sz w:val="20"/>
          <w:szCs w:val="20"/>
          <w:lang w:val="en-US" w:eastAsia="zh-CN"/>
        </w:rPr>
        <w:t xml:space="preserve"> </w:t>
      </w:r>
      <w:r>
        <w:rPr>
          <w:rFonts w:hint="eastAsia" w:cs="Times New Roman"/>
          <w:b w:val="0"/>
          <w:bCs w:val="0"/>
          <w:sz w:val="20"/>
          <w:szCs w:val="20"/>
          <w:lang w:val="en-US" w:eastAsia="zh-CN"/>
        </w:rPr>
        <w:t>for the co-site inter-sector, in-channel blocking, in-channel selectivity and in-channel sub-band leakage, this could be left up to the vendor declaration without defining any specific power or freq offset of the corresponding requirement.</w:t>
      </w:r>
    </w:p>
    <w:p>
      <w:pPr>
        <w:pStyle w:val="36"/>
        <w:spacing w:after="120"/>
        <w:ind w:firstLine="0" w:firstLineChars="0"/>
        <w:rPr>
          <w:rFonts w:hint="default" w:cs="Times New Roman"/>
          <w:b w:val="0"/>
          <w:bCs w:val="0"/>
          <w:sz w:val="20"/>
          <w:szCs w:val="20"/>
          <w:lang w:val="en-US" w:eastAsia="zh-CN"/>
        </w:rPr>
      </w:pPr>
      <w:r>
        <w:rPr>
          <w:rFonts w:hint="eastAsia" w:cs="Times New Roman"/>
          <w:b/>
          <w:bCs/>
          <w:sz w:val="20"/>
          <w:szCs w:val="20"/>
          <w:lang w:val="en-US" w:eastAsia="zh-CN"/>
        </w:rPr>
        <w:t>Proposal 2:</w:t>
      </w:r>
      <w:r>
        <w:rPr>
          <w:rFonts w:hint="eastAsia" w:cs="Times New Roman"/>
          <w:b w:val="0"/>
          <w:bCs w:val="0"/>
          <w:sz w:val="20"/>
          <w:szCs w:val="20"/>
          <w:lang w:val="en-US" w:eastAsia="zh-CN"/>
        </w:rPr>
        <w:t xml:space="preserve"> for the inter-site scenario, not to define in-channel blocking, in-channel selectivity and in-channel sub-band leakage and leave this up to the implementation. </w:t>
      </w:r>
    </w:p>
    <w:p>
      <w:pPr>
        <w:pStyle w:val="57"/>
        <w:tabs>
          <w:tab w:val="left" w:pos="567"/>
          <w:tab w:val="clear" w:pos="1985"/>
        </w:tabs>
        <w:adjustRightInd w:val="0"/>
        <w:ind w:left="510" w:hanging="510"/>
      </w:pPr>
      <w:r>
        <w:t>References</w:t>
      </w:r>
    </w:p>
    <w:p>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R4-2413514, Way Forward for [112][307] NR_duplex_evo_General, Samsung</w:t>
      </w:r>
    </w:p>
    <w:p>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2">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03FA5"/>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856A9"/>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4002F"/>
    <w:rsid w:val="0B0569D0"/>
    <w:rsid w:val="0B110AC0"/>
    <w:rsid w:val="0B1157EF"/>
    <w:rsid w:val="0B1232AE"/>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56D6"/>
    <w:rsid w:val="0D5800C7"/>
    <w:rsid w:val="0D5B6E86"/>
    <w:rsid w:val="0D604B9B"/>
    <w:rsid w:val="0D63712E"/>
    <w:rsid w:val="0D647BCA"/>
    <w:rsid w:val="0D6A353C"/>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D95333"/>
    <w:rsid w:val="0FDD44E9"/>
    <w:rsid w:val="0FE0698F"/>
    <w:rsid w:val="0FEA3F98"/>
    <w:rsid w:val="0FEB0378"/>
    <w:rsid w:val="0FEB569C"/>
    <w:rsid w:val="0FEC322B"/>
    <w:rsid w:val="0FEC6EF6"/>
    <w:rsid w:val="10036C5E"/>
    <w:rsid w:val="10045EE6"/>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C75B1"/>
    <w:rsid w:val="10F33CC1"/>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82CB9"/>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217B01"/>
    <w:rsid w:val="13253FC4"/>
    <w:rsid w:val="132625C2"/>
    <w:rsid w:val="132A7435"/>
    <w:rsid w:val="13322AD3"/>
    <w:rsid w:val="133B5756"/>
    <w:rsid w:val="134904A6"/>
    <w:rsid w:val="1357258A"/>
    <w:rsid w:val="135845C3"/>
    <w:rsid w:val="135F5E4E"/>
    <w:rsid w:val="136374E8"/>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A3388"/>
    <w:rsid w:val="13AB3B97"/>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E700A6"/>
    <w:rsid w:val="13ED51EC"/>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CE46B6"/>
    <w:rsid w:val="16D34826"/>
    <w:rsid w:val="16D359B1"/>
    <w:rsid w:val="16D550B0"/>
    <w:rsid w:val="16DC6856"/>
    <w:rsid w:val="16DD48E9"/>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20237"/>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7296F"/>
    <w:rsid w:val="19A83029"/>
    <w:rsid w:val="19AF232D"/>
    <w:rsid w:val="19B94DE5"/>
    <w:rsid w:val="19BB7983"/>
    <w:rsid w:val="19CA4702"/>
    <w:rsid w:val="19D01D27"/>
    <w:rsid w:val="19D76F77"/>
    <w:rsid w:val="19DC3901"/>
    <w:rsid w:val="19DE7440"/>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C1046"/>
    <w:rsid w:val="227D6059"/>
    <w:rsid w:val="227F5037"/>
    <w:rsid w:val="228041D7"/>
    <w:rsid w:val="228A008B"/>
    <w:rsid w:val="228A2082"/>
    <w:rsid w:val="228D63FC"/>
    <w:rsid w:val="229A7E25"/>
    <w:rsid w:val="229D01C1"/>
    <w:rsid w:val="229F462B"/>
    <w:rsid w:val="22A72B65"/>
    <w:rsid w:val="22AA0362"/>
    <w:rsid w:val="22AA773F"/>
    <w:rsid w:val="22B059F5"/>
    <w:rsid w:val="22B06BDB"/>
    <w:rsid w:val="22B21CAB"/>
    <w:rsid w:val="22B63FB8"/>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5D21"/>
    <w:rsid w:val="23D160BB"/>
    <w:rsid w:val="23D2612A"/>
    <w:rsid w:val="23D33566"/>
    <w:rsid w:val="23D53925"/>
    <w:rsid w:val="23D9762E"/>
    <w:rsid w:val="23DF2C6B"/>
    <w:rsid w:val="23E173A1"/>
    <w:rsid w:val="23E3610D"/>
    <w:rsid w:val="23E52298"/>
    <w:rsid w:val="23E94462"/>
    <w:rsid w:val="23EB58F1"/>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76D90"/>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7848"/>
    <w:rsid w:val="2625247E"/>
    <w:rsid w:val="262E20E8"/>
    <w:rsid w:val="262E34C1"/>
    <w:rsid w:val="263E0775"/>
    <w:rsid w:val="2640682F"/>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C36DE5"/>
    <w:rsid w:val="26C9404D"/>
    <w:rsid w:val="26CD53A8"/>
    <w:rsid w:val="26D323BB"/>
    <w:rsid w:val="26D45590"/>
    <w:rsid w:val="26DB67F4"/>
    <w:rsid w:val="26E53AE2"/>
    <w:rsid w:val="26EB2849"/>
    <w:rsid w:val="26EB45E1"/>
    <w:rsid w:val="26F017B3"/>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B02558"/>
    <w:rsid w:val="27B027C6"/>
    <w:rsid w:val="27B03EC1"/>
    <w:rsid w:val="27B91021"/>
    <w:rsid w:val="27BA3133"/>
    <w:rsid w:val="27C06D17"/>
    <w:rsid w:val="27C66099"/>
    <w:rsid w:val="27CA7CDA"/>
    <w:rsid w:val="27D30EC2"/>
    <w:rsid w:val="27D86709"/>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72948"/>
    <w:rsid w:val="296865F6"/>
    <w:rsid w:val="296B20A7"/>
    <w:rsid w:val="297D1A8B"/>
    <w:rsid w:val="29817476"/>
    <w:rsid w:val="29981CF5"/>
    <w:rsid w:val="299C6B98"/>
    <w:rsid w:val="29A13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1652E"/>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C5A2F"/>
    <w:rsid w:val="2D0E231B"/>
    <w:rsid w:val="2D145154"/>
    <w:rsid w:val="2D1A1A6B"/>
    <w:rsid w:val="2D1A4915"/>
    <w:rsid w:val="2D1C670F"/>
    <w:rsid w:val="2D210212"/>
    <w:rsid w:val="2D306B85"/>
    <w:rsid w:val="2D313196"/>
    <w:rsid w:val="2D323D75"/>
    <w:rsid w:val="2D3F06B2"/>
    <w:rsid w:val="2D400A9F"/>
    <w:rsid w:val="2D540857"/>
    <w:rsid w:val="2D590555"/>
    <w:rsid w:val="2D726428"/>
    <w:rsid w:val="2D770975"/>
    <w:rsid w:val="2D7A06F1"/>
    <w:rsid w:val="2D8151A4"/>
    <w:rsid w:val="2DA02E9C"/>
    <w:rsid w:val="2DAC4521"/>
    <w:rsid w:val="2DBB1852"/>
    <w:rsid w:val="2DBF0C3E"/>
    <w:rsid w:val="2DBF1601"/>
    <w:rsid w:val="2DBF44A4"/>
    <w:rsid w:val="2DBF4C3A"/>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B61295"/>
    <w:rsid w:val="2EB941A6"/>
    <w:rsid w:val="2EC414ED"/>
    <w:rsid w:val="2EC71A13"/>
    <w:rsid w:val="2EC722DC"/>
    <w:rsid w:val="2EC9437A"/>
    <w:rsid w:val="2EDC714E"/>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F20023"/>
    <w:rsid w:val="31F31FF7"/>
    <w:rsid w:val="31F52FE4"/>
    <w:rsid w:val="31F536F7"/>
    <w:rsid w:val="31FA7AEE"/>
    <w:rsid w:val="31FB60C5"/>
    <w:rsid w:val="3209100C"/>
    <w:rsid w:val="320D52C8"/>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F76D5D"/>
    <w:rsid w:val="32F86450"/>
    <w:rsid w:val="330066D7"/>
    <w:rsid w:val="33015240"/>
    <w:rsid w:val="330244A4"/>
    <w:rsid w:val="3304026E"/>
    <w:rsid w:val="33066388"/>
    <w:rsid w:val="330F1E44"/>
    <w:rsid w:val="331747E7"/>
    <w:rsid w:val="331B37C6"/>
    <w:rsid w:val="331C390F"/>
    <w:rsid w:val="33222F7E"/>
    <w:rsid w:val="333A0536"/>
    <w:rsid w:val="333E0FE1"/>
    <w:rsid w:val="333F4C47"/>
    <w:rsid w:val="333F6941"/>
    <w:rsid w:val="334D7767"/>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A156DE"/>
    <w:rsid w:val="33B52233"/>
    <w:rsid w:val="33B70359"/>
    <w:rsid w:val="33BA1B32"/>
    <w:rsid w:val="33BF7141"/>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5263E"/>
    <w:rsid w:val="34087429"/>
    <w:rsid w:val="340B5F03"/>
    <w:rsid w:val="3411600B"/>
    <w:rsid w:val="341315B5"/>
    <w:rsid w:val="34147AA7"/>
    <w:rsid w:val="34151CC9"/>
    <w:rsid w:val="3417174F"/>
    <w:rsid w:val="341808C3"/>
    <w:rsid w:val="34182B66"/>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C0AEA"/>
    <w:rsid w:val="3473748E"/>
    <w:rsid w:val="347F540F"/>
    <w:rsid w:val="34863322"/>
    <w:rsid w:val="34885DB3"/>
    <w:rsid w:val="348F0ED3"/>
    <w:rsid w:val="348F7A0E"/>
    <w:rsid w:val="34975090"/>
    <w:rsid w:val="349A0B7D"/>
    <w:rsid w:val="34A851E8"/>
    <w:rsid w:val="34A92857"/>
    <w:rsid w:val="34A94ADA"/>
    <w:rsid w:val="34A97BFE"/>
    <w:rsid w:val="34B51A96"/>
    <w:rsid w:val="34BF1CD4"/>
    <w:rsid w:val="34C800BD"/>
    <w:rsid w:val="34C936CD"/>
    <w:rsid w:val="34CC1DC7"/>
    <w:rsid w:val="34D47C8A"/>
    <w:rsid w:val="34D874E5"/>
    <w:rsid w:val="34DB0CAC"/>
    <w:rsid w:val="34DD3DF9"/>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52E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17193"/>
    <w:rsid w:val="39FD2FB3"/>
    <w:rsid w:val="3A026596"/>
    <w:rsid w:val="3A082ABE"/>
    <w:rsid w:val="3A0A6393"/>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D039A1"/>
    <w:rsid w:val="3BD16A31"/>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310B8"/>
    <w:rsid w:val="40D72999"/>
    <w:rsid w:val="40DF3ABC"/>
    <w:rsid w:val="40E75AF0"/>
    <w:rsid w:val="40E87142"/>
    <w:rsid w:val="40EF3C78"/>
    <w:rsid w:val="40F00A85"/>
    <w:rsid w:val="40F1013C"/>
    <w:rsid w:val="40F35427"/>
    <w:rsid w:val="40FA38BC"/>
    <w:rsid w:val="40FE1447"/>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4724"/>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258C7"/>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5F0A"/>
    <w:rsid w:val="453401C9"/>
    <w:rsid w:val="45347499"/>
    <w:rsid w:val="453579B0"/>
    <w:rsid w:val="45385EDA"/>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B7F64"/>
    <w:rsid w:val="461F36FD"/>
    <w:rsid w:val="462D4B2D"/>
    <w:rsid w:val="462E4FF5"/>
    <w:rsid w:val="46365246"/>
    <w:rsid w:val="463E1C6A"/>
    <w:rsid w:val="46466453"/>
    <w:rsid w:val="464871AD"/>
    <w:rsid w:val="464937C4"/>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81F1A"/>
    <w:rsid w:val="4B0A119A"/>
    <w:rsid w:val="4B0D6C0E"/>
    <w:rsid w:val="4B183767"/>
    <w:rsid w:val="4B1914EF"/>
    <w:rsid w:val="4B1C66E8"/>
    <w:rsid w:val="4B205D7D"/>
    <w:rsid w:val="4B28587C"/>
    <w:rsid w:val="4B292683"/>
    <w:rsid w:val="4B294C7C"/>
    <w:rsid w:val="4B2A327D"/>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A668E"/>
    <w:rsid w:val="50915F48"/>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CE7ABA"/>
    <w:rsid w:val="51D42177"/>
    <w:rsid w:val="51D43598"/>
    <w:rsid w:val="51DA51E8"/>
    <w:rsid w:val="51DA5890"/>
    <w:rsid w:val="51E90CD5"/>
    <w:rsid w:val="51EE7B3E"/>
    <w:rsid w:val="51F51BD1"/>
    <w:rsid w:val="51F96848"/>
    <w:rsid w:val="51FB40B5"/>
    <w:rsid w:val="52073487"/>
    <w:rsid w:val="520858AE"/>
    <w:rsid w:val="520A7B89"/>
    <w:rsid w:val="520E648E"/>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40481"/>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C6C75"/>
    <w:rsid w:val="572E4793"/>
    <w:rsid w:val="572E7E52"/>
    <w:rsid w:val="57315E6B"/>
    <w:rsid w:val="5733219C"/>
    <w:rsid w:val="57332F0F"/>
    <w:rsid w:val="573403E6"/>
    <w:rsid w:val="573459F0"/>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B78A1"/>
    <w:rsid w:val="57903D73"/>
    <w:rsid w:val="57955219"/>
    <w:rsid w:val="579A7C07"/>
    <w:rsid w:val="579F309F"/>
    <w:rsid w:val="57A46FEE"/>
    <w:rsid w:val="57AA5A5F"/>
    <w:rsid w:val="57AF7168"/>
    <w:rsid w:val="57B02763"/>
    <w:rsid w:val="57B6547E"/>
    <w:rsid w:val="57BC7C9C"/>
    <w:rsid w:val="57BF6387"/>
    <w:rsid w:val="57C77A65"/>
    <w:rsid w:val="57CD10F8"/>
    <w:rsid w:val="57D01AAC"/>
    <w:rsid w:val="57D1117F"/>
    <w:rsid w:val="57DA0D38"/>
    <w:rsid w:val="57DD4E33"/>
    <w:rsid w:val="57DE0A52"/>
    <w:rsid w:val="57DE3D6E"/>
    <w:rsid w:val="57DF6500"/>
    <w:rsid w:val="57E143B6"/>
    <w:rsid w:val="57E60B9B"/>
    <w:rsid w:val="57E73B61"/>
    <w:rsid w:val="57F01737"/>
    <w:rsid w:val="57F316B2"/>
    <w:rsid w:val="57F73696"/>
    <w:rsid w:val="57FA3FC4"/>
    <w:rsid w:val="58005923"/>
    <w:rsid w:val="5803475B"/>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4361E"/>
    <w:rsid w:val="588509DD"/>
    <w:rsid w:val="588D555E"/>
    <w:rsid w:val="58937684"/>
    <w:rsid w:val="58953B9F"/>
    <w:rsid w:val="58957A8C"/>
    <w:rsid w:val="589C0BA1"/>
    <w:rsid w:val="589F18E4"/>
    <w:rsid w:val="58A26665"/>
    <w:rsid w:val="58A948C8"/>
    <w:rsid w:val="58B156C4"/>
    <w:rsid w:val="58B3713C"/>
    <w:rsid w:val="58B80220"/>
    <w:rsid w:val="58B8443B"/>
    <w:rsid w:val="58B92428"/>
    <w:rsid w:val="58BC4002"/>
    <w:rsid w:val="58BC43D1"/>
    <w:rsid w:val="58C47A68"/>
    <w:rsid w:val="58C6178A"/>
    <w:rsid w:val="58D720A4"/>
    <w:rsid w:val="58DB456A"/>
    <w:rsid w:val="58E56245"/>
    <w:rsid w:val="58E909DD"/>
    <w:rsid w:val="58EB1C90"/>
    <w:rsid w:val="58EE536D"/>
    <w:rsid w:val="58F57D12"/>
    <w:rsid w:val="59094784"/>
    <w:rsid w:val="59255E05"/>
    <w:rsid w:val="59267EF0"/>
    <w:rsid w:val="59287A6A"/>
    <w:rsid w:val="592C2EB2"/>
    <w:rsid w:val="59376E4C"/>
    <w:rsid w:val="593F73A8"/>
    <w:rsid w:val="59421F7E"/>
    <w:rsid w:val="59424509"/>
    <w:rsid w:val="594935F2"/>
    <w:rsid w:val="594C2750"/>
    <w:rsid w:val="594D49D5"/>
    <w:rsid w:val="59595860"/>
    <w:rsid w:val="595C0946"/>
    <w:rsid w:val="59604A5E"/>
    <w:rsid w:val="59642A7A"/>
    <w:rsid w:val="59655357"/>
    <w:rsid w:val="596957AE"/>
    <w:rsid w:val="596D32B4"/>
    <w:rsid w:val="596F5485"/>
    <w:rsid w:val="5974082A"/>
    <w:rsid w:val="59774D3E"/>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B1A96"/>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344390"/>
    <w:rsid w:val="5E352EB6"/>
    <w:rsid w:val="5E400BF0"/>
    <w:rsid w:val="5E4250B0"/>
    <w:rsid w:val="5E4A3E88"/>
    <w:rsid w:val="5E4E539E"/>
    <w:rsid w:val="5E5B2B5A"/>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A3062"/>
    <w:rsid w:val="604C5236"/>
    <w:rsid w:val="605006BC"/>
    <w:rsid w:val="60584E5C"/>
    <w:rsid w:val="606162D0"/>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710BA6"/>
    <w:rsid w:val="637346BC"/>
    <w:rsid w:val="637D75E6"/>
    <w:rsid w:val="63821D61"/>
    <w:rsid w:val="638266CE"/>
    <w:rsid w:val="63827E36"/>
    <w:rsid w:val="63842477"/>
    <w:rsid w:val="638823F9"/>
    <w:rsid w:val="63891BA5"/>
    <w:rsid w:val="638B04D2"/>
    <w:rsid w:val="639A118D"/>
    <w:rsid w:val="639B7C08"/>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0F1A4A"/>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13545"/>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16F9B"/>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D5977"/>
    <w:rsid w:val="6BEE5C0E"/>
    <w:rsid w:val="6BF229CE"/>
    <w:rsid w:val="6BF25C39"/>
    <w:rsid w:val="6C06150E"/>
    <w:rsid w:val="6C1407B4"/>
    <w:rsid w:val="6C150C0B"/>
    <w:rsid w:val="6C155F31"/>
    <w:rsid w:val="6C206E21"/>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6186"/>
    <w:rsid w:val="6D8D7153"/>
    <w:rsid w:val="6D8F5451"/>
    <w:rsid w:val="6D90338E"/>
    <w:rsid w:val="6D925740"/>
    <w:rsid w:val="6D9D3EE4"/>
    <w:rsid w:val="6D9E7C69"/>
    <w:rsid w:val="6DA71839"/>
    <w:rsid w:val="6DA84071"/>
    <w:rsid w:val="6DB20233"/>
    <w:rsid w:val="6DB81D13"/>
    <w:rsid w:val="6DBE1B7B"/>
    <w:rsid w:val="6DC54D30"/>
    <w:rsid w:val="6DC65806"/>
    <w:rsid w:val="6DCA2F8B"/>
    <w:rsid w:val="6DDC32F3"/>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387925"/>
    <w:rsid w:val="6F447F07"/>
    <w:rsid w:val="6F4876AF"/>
    <w:rsid w:val="6F537FC0"/>
    <w:rsid w:val="6F5E3CAA"/>
    <w:rsid w:val="6F607895"/>
    <w:rsid w:val="6F61040C"/>
    <w:rsid w:val="6F6776E1"/>
    <w:rsid w:val="6F702CF5"/>
    <w:rsid w:val="6F714EFF"/>
    <w:rsid w:val="6F7A0C79"/>
    <w:rsid w:val="6F7E1B78"/>
    <w:rsid w:val="6F8D7897"/>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6916"/>
    <w:rsid w:val="70516066"/>
    <w:rsid w:val="7054528E"/>
    <w:rsid w:val="70555B90"/>
    <w:rsid w:val="705D6DF1"/>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F55CD"/>
    <w:rsid w:val="70B56633"/>
    <w:rsid w:val="70BB0D3E"/>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66C33"/>
    <w:rsid w:val="71676D13"/>
    <w:rsid w:val="716A160C"/>
    <w:rsid w:val="716B5F96"/>
    <w:rsid w:val="716C65C5"/>
    <w:rsid w:val="716D67F7"/>
    <w:rsid w:val="716E08C5"/>
    <w:rsid w:val="71747EDF"/>
    <w:rsid w:val="7183292B"/>
    <w:rsid w:val="71890883"/>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30B93"/>
    <w:rsid w:val="721C688B"/>
    <w:rsid w:val="72200AF0"/>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5AED"/>
    <w:rsid w:val="79D62785"/>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B0072B4"/>
    <w:rsid w:val="7B0211AC"/>
    <w:rsid w:val="7B0C08EF"/>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72F9B"/>
    <w:rsid w:val="7CE146B6"/>
    <w:rsid w:val="7CE65C11"/>
    <w:rsid w:val="7CE70935"/>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362BA"/>
    <w:rsid w:val="7D8B7B11"/>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64FC"/>
    <w:rsid w:val="7DFE63E1"/>
    <w:rsid w:val="7E006A11"/>
    <w:rsid w:val="7E043ED9"/>
    <w:rsid w:val="7E0903E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8403DB"/>
    <w:rsid w:val="7F8660CD"/>
    <w:rsid w:val="7F8A2E2C"/>
    <w:rsid w:val="7F963419"/>
    <w:rsid w:val="7F98528E"/>
    <w:rsid w:val="7FA069EC"/>
    <w:rsid w:val="7FB351E6"/>
    <w:rsid w:val="7FB422D4"/>
    <w:rsid w:val="7FBF76FC"/>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0</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2024-10-07T11:49:22Z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